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11"/>
        <w:gridCol w:w="3041"/>
        <w:gridCol w:w="851"/>
        <w:gridCol w:w="1134"/>
        <w:gridCol w:w="1134"/>
        <w:gridCol w:w="1701"/>
        <w:gridCol w:w="2126"/>
        <w:gridCol w:w="2268"/>
      </w:tblGrid>
      <w:tr w:rsidR="00CA7CB6" w:rsidRPr="006B2E84" w14:paraId="028BAFD5" w14:textId="77777777" w:rsidTr="00CA7CB6">
        <w:trPr>
          <w:trHeight w:val="355"/>
        </w:trPr>
        <w:tc>
          <w:tcPr>
            <w:tcW w:w="1164" w:type="dxa"/>
            <w:shd w:val="clear" w:color="auto" w:fill="000099"/>
            <w:vAlign w:val="center"/>
          </w:tcPr>
          <w:p w14:paraId="6E2F6B5C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Ato</w:t>
            </w:r>
          </w:p>
        </w:tc>
        <w:tc>
          <w:tcPr>
            <w:tcW w:w="1211" w:type="dxa"/>
            <w:shd w:val="clear" w:color="auto" w:fill="000099"/>
            <w:vAlign w:val="center"/>
          </w:tcPr>
          <w:p w14:paraId="2C368C9A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Data</w:t>
            </w:r>
          </w:p>
        </w:tc>
        <w:tc>
          <w:tcPr>
            <w:tcW w:w="3041" w:type="dxa"/>
            <w:shd w:val="clear" w:color="auto" w:fill="000099"/>
            <w:vAlign w:val="center"/>
          </w:tcPr>
          <w:p w14:paraId="43BCC43D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000099"/>
            <w:vAlign w:val="center"/>
          </w:tcPr>
          <w:p w14:paraId="3BC13F4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Quant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14:paraId="7FA4C4C7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Unit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14:paraId="6F1E0585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000099"/>
            <w:vAlign w:val="center"/>
          </w:tcPr>
          <w:p w14:paraId="6DC6A9A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Dispositivo Legal</w:t>
            </w:r>
          </w:p>
        </w:tc>
        <w:tc>
          <w:tcPr>
            <w:tcW w:w="2126" w:type="dxa"/>
            <w:shd w:val="clear" w:color="auto" w:fill="000099"/>
            <w:vAlign w:val="center"/>
          </w:tcPr>
          <w:p w14:paraId="7966C8D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2268" w:type="dxa"/>
            <w:shd w:val="clear" w:color="auto" w:fill="000099"/>
            <w:vAlign w:val="center"/>
          </w:tcPr>
          <w:p w14:paraId="7733352B" w14:textId="77777777" w:rsidR="006B2E84" w:rsidRPr="006B2E84" w:rsidRDefault="006B2E84" w:rsidP="006B2E84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CNPJ</w:t>
            </w:r>
          </w:p>
        </w:tc>
      </w:tr>
      <w:tr w:rsidR="006B2E84" w:rsidRPr="0094094B" w14:paraId="5CDB8350" w14:textId="77777777" w:rsidTr="00CA7CB6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43E51F92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47F90FC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158/2020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8DF8A81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18/03/20</w:t>
            </w: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14:paraId="72D153B2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Alcool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Gel 70% frasco de 1 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D5E3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15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E59F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EB6F9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E185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8B00D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Farmácia Bonassi Ltda ME</w:t>
            </w:r>
          </w:p>
        </w:tc>
        <w:tc>
          <w:tcPr>
            <w:tcW w:w="2268" w:type="dxa"/>
            <w:vAlign w:val="center"/>
          </w:tcPr>
          <w:p w14:paraId="7666B285" w14:textId="77777777"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07.068.304/0001-30</w:t>
            </w:r>
          </w:p>
        </w:tc>
      </w:tr>
      <w:tr w:rsidR="006B2E84" w:rsidRPr="0094094B" w14:paraId="62E7D0A8" w14:textId="77777777" w:rsidTr="00CA7CB6">
        <w:trPr>
          <w:trHeight w:val="711"/>
        </w:trPr>
        <w:tc>
          <w:tcPr>
            <w:tcW w:w="1164" w:type="dxa"/>
            <w:shd w:val="clear" w:color="auto" w:fill="auto"/>
            <w:vAlign w:val="center"/>
          </w:tcPr>
          <w:p w14:paraId="6C497C96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5A3D6F3E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161/2020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E174F8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14:paraId="41510098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0B165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F248EE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4B91C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E6188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069A2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39B153C7" w14:textId="77777777"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14:paraId="21A0D827" w14:textId="77777777" w:rsidTr="00CA7CB6">
        <w:trPr>
          <w:trHeight w:val="2674"/>
        </w:trPr>
        <w:tc>
          <w:tcPr>
            <w:tcW w:w="1164" w:type="dxa"/>
            <w:shd w:val="clear" w:color="auto" w:fill="auto"/>
            <w:vAlign w:val="center"/>
          </w:tcPr>
          <w:p w14:paraId="723CB54A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Compra consorciada 001/2020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03C62E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11D69493" w14:textId="77777777" w:rsidR="006B2E84" w:rsidRPr="0024496D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Aquisição de 10 frascos de álcool gel 500 ml, 10 caixas com 100 unidades de avental descartável, 200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máscara PFF2, 50 óculos de proteção, 150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touca, 50 caixas de luvas de procedimento descartáveis c/ 50 unidades tamanho P, 50 caixas de luvas de procedimento descartáveis c/ 50 unidades tamanho M, 25 caixas de luvas de procedimento descartáveis c/ 50 unidades tamanho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E9847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Diversos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4C391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F818C" w14:textId="77777777"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992AD" w14:textId="77777777" w:rsidR="006B2E84" w:rsidRPr="0024496D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CE73E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6EDFFAAE" w14:textId="77777777" w:rsidR="006B2E84" w:rsidRPr="0024496D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94094B" w14:paraId="3E418E08" w14:textId="77777777" w:rsidTr="00CA7CB6">
        <w:trPr>
          <w:trHeight w:val="1237"/>
        </w:trPr>
        <w:tc>
          <w:tcPr>
            <w:tcW w:w="1164" w:type="dxa"/>
            <w:shd w:val="clear" w:color="auto" w:fill="auto"/>
            <w:vAlign w:val="center"/>
          </w:tcPr>
          <w:p w14:paraId="32911C39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14:paraId="03F47833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94094B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4B3E690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14:paraId="14A0F855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kits de teste rápido para o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Covid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19</w:t>
            </w:r>
          </w:p>
          <w:p w14:paraId="7E639C6F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4E753A12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 xml:space="preserve">** Compra cancelada devido a desistência do Fornecedor** produto em falta conforme carta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1A62D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0B376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188A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3.100,00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4C79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99990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354FB83" w14:textId="77777777" w:rsidR="006B2E84" w:rsidRPr="0094094B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14:paraId="29B43B62" w14:textId="77777777" w:rsidTr="00CA7CB6">
        <w:trPr>
          <w:trHeight w:val="1066"/>
        </w:trPr>
        <w:tc>
          <w:tcPr>
            <w:tcW w:w="1164" w:type="dxa"/>
            <w:shd w:val="clear" w:color="auto" w:fill="auto"/>
            <w:vAlign w:val="center"/>
          </w:tcPr>
          <w:p w14:paraId="73F2A0A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14:paraId="3E09CEAE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0D4E49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94AC30D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30/03/2020</w:t>
            </w:r>
          </w:p>
        </w:tc>
        <w:tc>
          <w:tcPr>
            <w:tcW w:w="3041" w:type="dxa"/>
            <w:shd w:val="clear" w:color="auto" w:fill="auto"/>
          </w:tcPr>
          <w:p w14:paraId="64299B65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álcool gel 70% em frasco de 5 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B4B1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C32D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7C74F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6140B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BA4AB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AC8F037" w14:textId="77777777" w:rsidR="006B2E84" w:rsidRPr="000D4E49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14:paraId="53EB1255" w14:textId="77777777" w:rsidTr="00CA7CB6">
        <w:trPr>
          <w:trHeight w:val="711"/>
        </w:trPr>
        <w:tc>
          <w:tcPr>
            <w:tcW w:w="1164" w:type="dxa"/>
            <w:shd w:val="clear" w:color="auto" w:fill="auto"/>
            <w:vAlign w:val="center"/>
          </w:tcPr>
          <w:p w14:paraId="0256EA6F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5B6C50E8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179/2020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568B10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7C5CDEE4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máscara dupla, para uso individual, em tecido 100% algodão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FC040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200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DF0E9F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0CC8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2CD3A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80BC6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0FA8A5BE" w14:textId="77777777"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14:paraId="57D90294" w14:textId="77777777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7C2B3C70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21BA94A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E620E4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50888A37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B5372" w14:textId="77777777" w:rsidR="006B2E84" w:rsidRPr="000D4E49" w:rsidRDefault="006B2E84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2D12BC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4735D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A920D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1B95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2830166C" w14:textId="77777777"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14:paraId="7636030F" w14:textId="77777777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3B44BD56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5720505A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B76ACF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50894012" w14:textId="77777777" w:rsidR="001A3A48" w:rsidRPr="001A3A48" w:rsidRDefault="001A3A48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180m de elástico branco,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BC735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180m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61FD6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01795" w14:textId="77777777"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56381" w14:textId="77777777"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7246D" w14:textId="77777777"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7E9D5E42" w14:textId="77777777" w:rsidR="001A3A48" w:rsidRPr="000D4E49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14:paraId="53A6157B" w14:textId="77777777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112044AC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lastRenderedPageBreak/>
              <w:t>Autorização de Fornecimento</w:t>
            </w:r>
          </w:p>
          <w:p w14:paraId="1DF73575" w14:textId="77777777" w:rsid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184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FCA7B1C" w14:textId="77777777"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05E19E18" w14:textId="77777777" w:rsidR="001A3A48" w:rsidRPr="001A3A48" w:rsidRDefault="001A3A48" w:rsidP="001A3A48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um rolo de TNT com 50m,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AA5AF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 rolo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2EF6E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84C65" w14:textId="77777777"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774DD" w14:textId="77777777" w:rsidR="001A3A48" w:rsidRPr="001A3A48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B28A3" w14:textId="77777777" w:rsidR="001A3A48" w:rsidRPr="000D4E49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Tendência Materiais para Informática e Escritório</w:t>
            </w:r>
          </w:p>
        </w:tc>
        <w:tc>
          <w:tcPr>
            <w:tcW w:w="2268" w:type="dxa"/>
            <w:vAlign w:val="center"/>
          </w:tcPr>
          <w:p w14:paraId="7AA2D3D9" w14:textId="77777777"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01.010.272/0001-35</w:t>
            </w:r>
          </w:p>
        </w:tc>
      </w:tr>
      <w:tr w:rsidR="00713D85" w:rsidRPr="0094094B" w14:paraId="32E07809" w14:textId="77777777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2592EE05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nº 43/2020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0C20398" w14:textId="77777777"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08/04/2020</w:t>
            </w:r>
          </w:p>
        </w:tc>
        <w:tc>
          <w:tcPr>
            <w:tcW w:w="3041" w:type="dxa"/>
            <w:shd w:val="clear" w:color="auto" w:fill="auto"/>
          </w:tcPr>
          <w:p w14:paraId="7E10A685" w14:textId="77777777" w:rsidR="00713D85" w:rsidRPr="001A3A48" w:rsidRDefault="00713D85" w:rsidP="00713D85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13D85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cestas básicas destinadas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14762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 Cestas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C593C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3C72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7.837,50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3BFC0" w14:textId="77777777" w:rsidR="00713D85" w:rsidRPr="001A3A48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FF687" w14:textId="77777777" w:rsidR="00713D85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Mercado Poliane Ltda</w:t>
            </w:r>
          </w:p>
        </w:tc>
        <w:tc>
          <w:tcPr>
            <w:tcW w:w="2268" w:type="dxa"/>
            <w:vAlign w:val="center"/>
          </w:tcPr>
          <w:p w14:paraId="0061615A" w14:textId="77777777"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13D85">
              <w:rPr>
                <w:rFonts w:ascii="Bookman Old Style" w:hAnsi="Bookman Old Style" w:cs="Arial"/>
                <w:sz w:val="16"/>
                <w:szCs w:val="16"/>
              </w:rPr>
              <w:t>00.070.364/0001-48</w:t>
            </w:r>
          </w:p>
        </w:tc>
      </w:tr>
      <w:tr w:rsidR="003268E0" w:rsidRPr="0094094B" w14:paraId="6D6F1931" w14:textId="77777777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6869CFE7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3E59C8F4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705/2020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57F1208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46E38B22" w14:textId="77777777" w:rsidR="003268E0" w:rsidRPr="003268E0" w:rsidRDefault="003268E0" w:rsidP="003268E0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Aquisição de 1.000un máscara facial dupla de tecido r$ 3,43/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3268E0">
              <w:rPr>
                <w:rFonts w:ascii="Bookman Old Style" w:hAnsi="Bookman Old Style" w:cs="Arial"/>
                <w:sz w:val="16"/>
                <w:szCs w:val="16"/>
              </w:rPr>
              <w:t>, para distribuição à população exposta ao risco de contaminação pelo Covid-19 e que não tem condições de adquirir ou confeccionar suas próprias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D631B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 xml:space="preserve">1000 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AFCEC8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CD5E7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3.430,00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D383" w14:textId="77777777"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D2534" w14:textId="77777777"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707902D8" w14:textId="77777777" w:rsidR="003268E0" w:rsidRPr="000D4E49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14:paraId="50558053" w14:textId="77777777" w:rsidTr="0035211B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5A266F66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0F8C8CFA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187/2020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08FC09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24/04/2020</w:t>
            </w:r>
          </w:p>
        </w:tc>
        <w:tc>
          <w:tcPr>
            <w:tcW w:w="3041" w:type="dxa"/>
            <w:shd w:val="clear" w:color="auto" w:fill="auto"/>
          </w:tcPr>
          <w:p w14:paraId="59B994FF" w14:textId="77777777" w:rsidR="00627A0E" w:rsidRPr="00627A0E" w:rsidRDefault="00627A0E" w:rsidP="00627A0E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Aquisição de 30m de elástico branco, para confecção de máscaras. AF complementar à AF 183/2020.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5EF86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30m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2CF4D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C531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4CB55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9503F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1CC86EF5" w14:textId="77777777"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14:paraId="100C2183" w14:textId="77777777" w:rsidTr="0035211B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7B28C963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66C2E7FA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E4A5C54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28/04/2020</w:t>
            </w:r>
          </w:p>
        </w:tc>
        <w:tc>
          <w:tcPr>
            <w:tcW w:w="3041" w:type="dxa"/>
            <w:shd w:val="clear" w:color="auto" w:fill="auto"/>
          </w:tcPr>
          <w:p w14:paraId="65C4DBAE" w14:textId="77777777" w:rsidR="00627A0E" w:rsidRPr="00627A0E" w:rsidRDefault="00627A0E" w:rsidP="0035211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C81E5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627A0E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0064E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ECF8D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D3FAB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06F17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LS Fotografias Eireli</w:t>
            </w:r>
          </w:p>
        </w:tc>
        <w:tc>
          <w:tcPr>
            <w:tcW w:w="2268" w:type="dxa"/>
            <w:vAlign w:val="center"/>
          </w:tcPr>
          <w:p w14:paraId="3AA2BBD1" w14:textId="77777777"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03.839.858/0002-13</w:t>
            </w:r>
          </w:p>
        </w:tc>
      </w:tr>
      <w:tr w:rsidR="006C174C" w:rsidRPr="0094094B" w14:paraId="3A86B4BC" w14:textId="77777777" w:rsidTr="007B0252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14:paraId="5C7C9E38" w14:textId="77777777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14:paraId="465C5D2A" w14:textId="1B841871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06EE0E8" w14:textId="6BD2660B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07/05/2020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B71D85" w14:textId="4C239DCE" w:rsidR="006C174C" w:rsidRPr="00627A0E" w:rsidRDefault="006C174C" w:rsidP="006C174C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Aquisição de 39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conjunto</w:t>
            </w:r>
            <w:r>
              <w:rPr>
                <w:rFonts w:ascii="Bookman Old Style" w:hAnsi="Bookman Old Style" w:cs="Arial"/>
                <w:sz w:val="16"/>
                <w:szCs w:val="16"/>
              </w:rPr>
              <w:t>s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de túnica manga longa, confeccionados em tecido de algodão </w:t>
            </w:r>
            <w:r>
              <w:rPr>
                <w:rFonts w:ascii="Bookman Old Style" w:hAnsi="Bookman Old Style" w:cs="Arial"/>
                <w:sz w:val="16"/>
                <w:szCs w:val="16"/>
              </w:rPr>
              <w:t>R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$ 76,50/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, destinados aos servidores internos da secretaria municipal de saúde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P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eritiba, que estão trabalhando na linha de frente na pandemia do </w:t>
            </w: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426BF" w14:textId="73E2CFCA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39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87F4668" w14:textId="7E2E075A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 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CAF2B" w14:textId="0969D2DB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2.983,50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8BE9F" w14:textId="53DF86DA" w:rsidR="006C174C" w:rsidRPr="00627A0E" w:rsidRDefault="006C174C" w:rsidP="006C174C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D57D81" w14:textId="4E987465" w:rsidR="006C174C" w:rsidRPr="00627A0E" w:rsidRDefault="006C174C" w:rsidP="006C174C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Edith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Gertrud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Petter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67508677900</w:t>
            </w:r>
          </w:p>
        </w:tc>
        <w:tc>
          <w:tcPr>
            <w:tcW w:w="2268" w:type="dxa"/>
            <w:vAlign w:val="center"/>
          </w:tcPr>
          <w:p w14:paraId="713C89FD" w14:textId="60D54CB5" w:rsidR="006C174C" w:rsidRPr="00627A0E" w:rsidRDefault="006C174C" w:rsidP="006C174C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>24.612.486/0001-87</w:t>
            </w:r>
          </w:p>
        </w:tc>
      </w:tr>
    </w:tbl>
    <w:p w14:paraId="3C6E573C" w14:textId="77777777" w:rsidR="00623447" w:rsidRDefault="00623447"/>
    <w:sectPr w:rsidR="00623447" w:rsidSect="00CA7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84"/>
    <w:rsid w:val="00036D57"/>
    <w:rsid w:val="001A3A48"/>
    <w:rsid w:val="003268E0"/>
    <w:rsid w:val="00623447"/>
    <w:rsid w:val="00627A0E"/>
    <w:rsid w:val="006B2E84"/>
    <w:rsid w:val="006C174C"/>
    <w:rsid w:val="00713D85"/>
    <w:rsid w:val="007A4DE9"/>
    <w:rsid w:val="00CA7CB6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3AE"/>
  <w15:chartTrackingRefBased/>
  <w15:docId w15:val="{3DA31A40-E67F-405A-AF5E-2AB6221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Dândara Bazzei</cp:lastModifiedBy>
  <cp:revision>3</cp:revision>
  <dcterms:created xsi:type="dcterms:W3CDTF">2020-05-08T14:53:00Z</dcterms:created>
  <dcterms:modified xsi:type="dcterms:W3CDTF">2020-05-08T14:58:00Z</dcterms:modified>
</cp:coreProperties>
</file>